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68"/>
        <w:gridCol w:w="8172"/>
        <w:tblGridChange w:id="0">
          <w:tblGrid>
            <w:gridCol w:w="2268"/>
            <w:gridCol w:w="8172"/>
          </w:tblGrid>
        </w:tblGridChange>
      </w:tblGrid>
      <w:tr>
        <w:trPr>
          <w:cantSplit w:val="0"/>
          <w:tblHeader w:val="0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Prepared: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Samer Zaid Kaylani</w:t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 Address: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5323 Harry Hines Blvd, Dallas, TX, 75390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Phone: 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214-648-3896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E-Mail: 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samer.zaidkaylani@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utsouthwestern.edu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Fax: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214-648-3122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Place of Birth: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Jordan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1687"/>
        <w:gridCol w:w="3360"/>
        <w:gridCol w:w="3725"/>
        <w:tblGridChange w:id="0">
          <w:tblGrid>
            <w:gridCol w:w="1668"/>
            <w:gridCol w:w="1687"/>
            <w:gridCol w:w="3360"/>
            <w:gridCol w:w="3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(Honors)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Field of Study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(Thesis advisor for PhDs)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2000-2006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MBBS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Jordan University of Science &amp; Technology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808080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808080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808080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808080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u w:val="single"/>
          <w:rtl w:val="0"/>
        </w:rPr>
        <w:t xml:space="preserve">Postdoctoral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1687"/>
        <w:gridCol w:w="3360"/>
        <w:gridCol w:w="3725"/>
        <w:tblGridChange w:id="0">
          <w:tblGrid>
            <w:gridCol w:w="1668"/>
            <w:gridCol w:w="1687"/>
            <w:gridCol w:w="3360"/>
            <w:gridCol w:w="3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Specialty/Discipline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(Lab PI for postdoc research)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2006-2007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Internship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 Hussein Hospital, Al-Salt, Jordan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2007-2010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Department of Pediatrics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2010-2013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Fellow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Alabama-Birmingham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Current Licensure and Certification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Licensure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2017- present</w:t>
        <w:tab/>
        <w:t xml:space="preserve">Texas State License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2010- present </w:t>
        <w:tab/>
        <w:t xml:space="preserve">Alabama State License</w:t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2012-2020</w:t>
        <w:tab/>
        <w:t xml:space="preserve">Louisiana State License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Board and Other Certification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2010</w:t>
        <w:tab/>
        <w:t xml:space="preserve">American Board of Pediatrics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</w:t>
        <w:tab/>
        <w:t xml:space="preserve">American Board of Pediatric </w:t>
      </w:r>
      <w:r w:rsidDel="00000000" w:rsidR="00000000" w:rsidRPr="00000000">
        <w:rPr>
          <w:rtl w:val="0"/>
        </w:rPr>
        <w:t xml:space="preserve">Hematology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Oncology</w:t>
        <w:tab/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Honors and Awards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45.0" w:type="dxa"/>
        <w:jc w:val="left"/>
        <w:tblLayout w:type="fixed"/>
        <w:tblLook w:val="0000"/>
      </w:tblPr>
      <w:tblGrid>
        <w:gridCol w:w="1668"/>
        <w:gridCol w:w="2460"/>
        <w:gridCol w:w="6317"/>
        <w:tblGridChange w:id="0">
          <w:tblGrid>
            <w:gridCol w:w="1668"/>
            <w:gridCol w:w="2460"/>
            <w:gridCol w:w="6317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Honor/Award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Awarding Organization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Unsung Hero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 Dean Award-Texas Tech University Dean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Texan Taking Care of Texans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State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 Choice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Faculty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Dean’s Award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Golden Humanism Honor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Gold Humanism Honor Society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 Teaching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 Teaching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 Choice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Faculty Student Teaching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 Morning Report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 Teaching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LSUHSC Department of Pediatrics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John R.Durant Award for University Of Alabama at Birmingham Excellence in Cancer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Alabama at Birmingham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PICU Resident of the Year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 Excellence Award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North West Texas Hospital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Outstanding First Year Resident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 Outstanding Resident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Outstanding Resident Teacher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Pediatrics Department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place Resident Poster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Health Sciences Center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2001-2004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Medical School Honor List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Jordan University of Science &amp; Technology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Faculty Academic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2280"/>
        <w:gridCol w:w="2767"/>
        <w:gridCol w:w="3725"/>
        <w:tblGridChange w:id="0">
          <w:tblGrid>
            <w:gridCol w:w="1668"/>
            <w:gridCol w:w="2280"/>
            <w:gridCol w:w="2767"/>
            <w:gridCol w:w="3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Title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2023-present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Clinical Associate 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Pediatric Hematology Oncology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UTsouthwestern, Dallas, TX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 Director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University,/Amarillo, TX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 site Primary Investigator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 Hematology Oncology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University/ Amarillo, TX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2018-2019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Associate Program Director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University/Amarrillo, TX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Associate Professor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 Hematology Oncology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University/Amarrillo, TX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2013-2017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Assistant Professor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 Hematology Oncology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LSU Shreveport/St. Jude Affiliate</w:t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4" w:firstLine="0"/>
        <w:rPr>
          <w:i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Appointments at Hospitals/Affiliated Institutions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775"/>
        <w:gridCol w:w="2180"/>
        <w:gridCol w:w="30"/>
        <w:gridCol w:w="3338"/>
        <w:gridCol w:w="3112"/>
        <w:tblGridChange w:id="0">
          <w:tblGrid>
            <w:gridCol w:w="1775"/>
            <w:gridCol w:w="2180"/>
            <w:gridCol w:w="30"/>
            <w:gridCol w:w="3338"/>
            <w:gridCol w:w="311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ind w:left="14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tabs>
                <w:tab w:val="left" w:leader="none" w:pos="3214"/>
              </w:tabs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Title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Department/Division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leader="none" w:pos="3214"/>
              </w:tabs>
              <w:rPr/>
            </w:pPr>
            <w:r w:rsidDel="00000000" w:rsidR="00000000" w:rsidRPr="00000000">
              <w:rPr>
                <w:rtl w:val="0"/>
              </w:rPr>
              <w:t xml:space="preserve">2013-2017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Assistant Professor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 Hematology Oncology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Alabama in Birmingham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leader="none" w:pos="3214"/>
              </w:tabs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2017-2022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Associate Professor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Pediatric Hematology Oncology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Northwest Texas Hospital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Current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leader="none" w:pos="3214"/>
              </w:tabs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Year(s)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Title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Department/Division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tabs>
                <w:tab w:val="left" w:leader="none" w:pos="3214"/>
              </w:tabs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2023-present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Associate Clinical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Pediatric Hematology Oncology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Chidlrens Medical Center Dallas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tabs>
                <w:tab w:val="left" w:leader="none" w:pos="3214"/>
              </w:tabs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2023-present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Associate Clinical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Pediatric Hematology Oncology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Childrens Medical Center Plano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b w:val="1"/>
          <w:u w:val="single"/>
          <w:rtl w:val="0"/>
        </w:rPr>
        <w:t xml:space="preserve">Other Professional Positions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5167"/>
        <w:gridCol w:w="3605"/>
        <w:tblGridChange w:id="0">
          <w:tblGrid>
            <w:gridCol w:w="1668"/>
            <w:gridCol w:w="5167"/>
            <w:gridCol w:w="36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Title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b w:val="1"/>
          <w:u w:val="single"/>
          <w:rtl w:val="0"/>
        </w:rPr>
        <w:t xml:space="preserve">Major Administrative/Leadership Positions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4327"/>
        <w:gridCol w:w="4445"/>
        <w:tblGridChange w:id="0">
          <w:tblGrid>
            <w:gridCol w:w="1668"/>
            <w:gridCol w:w="4327"/>
            <w:gridCol w:w="4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Title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 Director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2018-2019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Associate Program Director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b w:val="1"/>
          <w:u w:val="single"/>
          <w:rtl w:val="0"/>
        </w:rPr>
        <w:t xml:space="preserve">Committee Service</w:t>
      </w:r>
      <w:r w:rsidDel="00000000" w:rsidR="00000000" w:rsidRPr="00000000">
        <w:rPr>
          <w:b w:val="1"/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Member, unless noted otherwise)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4920"/>
        <w:gridCol w:w="3852"/>
        <w:tblGridChange w:id="0">
          <w:tblGrid>
            <w:gridCol w:w="1668"/>
            <w:gridCol w:w="4920"/>
            <w:gridCol w:w="3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Committee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Institution/Organization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UTSW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Hospital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2014-2017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IRB protocol review committee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Louisiana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State University Hospital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2012-2013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Resident House Staff committee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Hospital of Alabama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2011-2012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Blood Utilization committee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Hospital of Alabama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2008-2009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Resident House Staff committee Vice President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Northwest Texas Hospital Amarillo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State/Regional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National/International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b w:val="1"/>
          <w:u w:val="single"/>
          <w:rtl w:val="0"/>
        </w:rPr>
        <w:t xml:space="preserve">Professional Societies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8772"/>
        <w:tblGridChange w:id="0">
          <w:tblGrid>
            <w:gridCol w:w="1668"/>
            <w:gridCol w:w="8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Society Name, member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2023-present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ind w:left="1440" w:hanging="1440"/>
              <w:rPr/>
            </w:pPr>
            <w:r w:rsidDel="00000000" w:rsidR="00000000" w:rsidRPr="00000000">
              <w:rPr>
                <w:rtl w:val="0"/>
              </w:rPr>
              <w:t xml:space="preserve">Texas Medical Association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2023-present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7">
            <w:pPr>
              <w:ind w:left="1440" w:hanging="1440"/>
              <w:rPr/>
            </w:pPr>
            <w:r w:rsidDel="00000000" w:rsidR="00000000" w:rsidRPr="00000000">
              <w:rPr>
                <w:rtl w:val="0"/>
              </w:rPr>
              <w:t xml:space="preserve">Dallas County Medical Society (DCMS)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2010- present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American Society of Pediatric Hematology-Oncology (ASPHO)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2007- present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B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Jordan Medical Association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2007- present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D">
            <w:pPr>
              <w:ind w:left="1440" w:hanging="1440"/>
              <w:rPr/>
            </w:pPr>
            <w:r w:rsidDel="00000000" w:rsidR="00000000" w:rsidRPr="00000000">
              <w:rPr>
                <w:rtl w:val="0"/>
              </w:rPr>
              <w:t xml:space="preserve">American Academy of Pediatrics (AAP)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2F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American Society of Hematology (ASH)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0">
            <w:pPr>
              <w:tabs>
                <w:tab w:val="left" w:leader="none" w:pos="321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2019- 2023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1">
            <w:pPr>
              <w:ind w:left="144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Children’s Oncology Group (COG)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2012-2013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3">
            <w:pPr>
              <w:ind w:left="1440" w:hanging="1440"/>
              <w:rPr/>
            </w:pPr>
            <w:r w:rsidDel="00000000" w:rsidR="00000000" w:rsidRPr="00000000">
              <w:rPr>
                <w:rtl w:val="0"/>
              </w:rPr>
              <w:t xml:space="preserve">American Academy of Clinical Research (AACR)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2012-2013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5">
            <w:pPr>
              <w:ind w:left="1440" w:hanging="1440"/>
              <w:rPr/>
            </w:pPr>
            <w:r w:rsidDel="00000000" w:rsidR="00000000" w:rsidRPr="00000000">
              <w:rPr>
                <w:rtl w:val="0"/>
              </w:rPr>
              <w:t xml:space="preserve">Children’s Oncology Group (COG)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2010-2012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7">
            <w:pPr>
              <w:ind w:left="1440" w:hanging="1440"/>
              <w:rPr/>
            </w:pPr>
            <w:r w:rsidDel="00000000" w:rsidR="00000000" w:rsidRPr="00000000">
              <w:rPr>
                <w:rtl w:val="0"/>
              </w:rPr>
              <w:t xml:space="preserve">American Society of Clinical Oncology (ASCO)</w:t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Grant Review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4920"/>
        <w:gridCol w:w="3852"/>
        <w:tblGridChange w:id="0">
          <w:tblGrid>
            <w:gridCol w:w="1668"/>
            <w:gridCol w:w="4920"/>
            <w:gridCol w:w="3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Review Committee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Editorial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8772"/>
        <w:tblGridChange w:id="0">
          <w:tblGrid>
            <w:gridCol w:w="1668"/>
            <w:gridCol w:w="8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Name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Editor/Associate Editor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Editorial 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Ad Hoc Reviewer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Grant Support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8772"/>
        <w:tblGridChange w:id="0">
          <w:tblGrid>
            <w:gridCol w:w="1668"/>
            <w:gridCol w:w="8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Grantor: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1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Title of 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3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Role (Principal Investigator, Co-Investigator):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5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Annual amount and date (direct costs only):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Total amount of award (if multi-year) and dates (direct costs only):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8772"/>
        <w:tblGridChange w:id="0">
          <w:tblGrid>
            <w:gridCol w:w="1668"/>
            <w:gridCol w:w="8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Grantor: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E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Title of 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0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Role (Principal Investigator, Co-Investigator):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2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Annual amount and date (direct costs only):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4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Total amount of award (if multi-year) and dates (direct costs only):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6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Clinical Trials Activities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8772"/>
        <w:tblGridChange w:id="0">
          <w:tblGrid>
            <w:gridCol w:w="1668"/>
            <w:gridCol w:w="8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Grantor: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D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Title of 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7F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Role (Principal Investigator, Co-Investigator):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1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8772"/>
        <w:tblGridChange w:id="0">
          <w:tblGrid>
            <w:gridCol w:w="1668"/>
            <w:gridCol w:w="8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Grantor: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6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Title of 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8">
            <w:pPr>
              <w:ind w:left="1440" w:hanging="1440"/>
              <w:rPr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Role (Principal Investigator, Co-Investigator):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A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Teaching Activities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8772"/>
        <w:tblGridChange w:id="0">
          <w:tblGrid>
            <w:gridCol w:w="1668"/>
            <w:gridCol w:w="87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Medical and graduate school didactic and small group teaching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2017-2022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 Pediatric Resident weekly Pediatric Board preparation study group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Dissertation committees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Qualifying examination committees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Committees concerned with medical and graduate student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Graduate student rotations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Medical student rotations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Evaluation committee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the Texas Tech Pediatric Program director was part of the quarterly meetings for setting up the student evaluations and rotation requirement in the department of pediatrics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Medical Student Mentor Program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 student mentor program (2013-2017), Louisiana State University, duties including mentoring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 students during their rotation in the pediatric department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Graduate student trainees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Postgraduate medical education (graduate &amp; continuing medical education)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 Evaluation Committee (PEC)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 of the PEC, Committee helps set the curriculum for the resident education, set the goals for the teaching and learning, review and update evaluations for the residents. (2018-2022)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Clinical Competency Committee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resident progress and decide on promotion, or corrective measure, meetins are set every 6 months or as required for any emergent issues. (2019-2022)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Postdoctoral trainees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Invited Lectures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68"/>
        <w:gridCol w:w="4920"/>
        <w:gridCol w:w="3852"/>
        <w:tblGridChange w:id="0">
          <w:tblGrid>
            <w:gridCol w:w="1668"/>
            <w:gridCol w:w="4920"/>
            <w:gridCol w:w="3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Regional/Local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2020-2022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Conflict approach and resolution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GME lectures series-Texas Tech Amarillo Campus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Genetics in the world of oncology-Ground Round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University Health Sciences Center, All 3 campuses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Ground Rounds: life after beating cancer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Lousiana State Unviersity-Shreveport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 oncology for the primary physicians  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NWLA pediatric meeting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Mack/Khori Hematology Conference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LSU community conference-Director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to pediatric Hematoncology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Shriners’ Nursing Conference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Transition medicine in sickle cell patients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LSU Ground Rounds MED/PEDS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Acute renal failure in neonates Ground Rounds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Texas Tech University Health Sciences Center, All 3 campuses</w:t>
            </w:r>
          </w:p>
        </w:tc>
      </w:tr>
    </w:tbl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Technological and Other Scientific Innovations</w:t>
      </w:r>
    </w:p>
    <w:p w:rsidR="00000000" w:rsidDel="00000000" w:rsidP="00000000" w:rsidRDefault="00000000" w:rsidRPr="00000000" w14:paraId="000001F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18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10218"/>
        <w:tblGridChange w:id="0">
          <w:tblGrid>
            <w:gridCol w:w="10218"/>
          </w:tblGrid>
        </w:tblGridChange>
      </w:tblGrid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Innovation</w:t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Patent, if any, pending or awarded /If described in print/on web, provide citation</w:t>
            </w:r>
          </w:p>
        </w:tc>
      </w:tr>
    </w:tbl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218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10218"/>
        <w:tblGridChange w:id="0">
          <w:tblGrid>
            <w:gridCol w:w="10218"/>
          </w:tblGrid>
        </w:tblGridChange>
      </w:tblGrid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Service to the Community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218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1653"/>
        <w:gridCol w:w="5723"/>
        <w:gridCol w:w="2842"/>
        <w:tblGridChange w:id="0">
          <w:tblGrid>
            <w:gridCol w:w="1653"/>
            <w:gridCol w:w="5723"/>
            <w:gridCol w:w="2842"/>
          </w:tblGrid>
        </w:tblGridChange>
      </w:tblGrid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Year(s)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 or institution</w:t>
            </w:r>
          </w:p>
        </w:tc>
      </w:tr>
    </w:tbl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218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1644"/>
        <w:gridCol w:w="5748"/>
        <w:gridCol w:w="2826"/>
        <w:tblGridChange w:id="0">
          <w:tblGrid>
            <w:gridCol w:w="1644"/>
            <w:gridCol w:w="5748"/>
            <w:gridCol w:w="2826"/>
          </w:tblGrid>
        </w:tblGridChange>
      </w:tblGrid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2011-2013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 SAM Medical Staff (Pediatric Oncology)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Alexander City, AL</w:t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 CAMP MedicalStaff for children with disabilities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TX Special Needs Association</w:t>
            </w:r>
          </w:p>
        </w:tc>
      </w:tr>
      <w:tr>
        <w:trPr>
          <w:cantSplit w:val="0"/>
          <w:tblHeader w:val="0"/>
        </w:trPr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Organizing staff of medical conference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Salt, Jordan</w:t>
            </w:r>
          </w:p>
        </w:tc>
      </w:tr>
    </w:tbl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b w:val="1"/>
          <w:u w:val="single"/>
          <w:rtl w:val="0"/>
        </w:rPr>
        <w:t xml:space="preserve">Bibliography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3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Peer-Reviewed 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left="1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Original Research Articles</w:t>
      </w:r>
    </w:p>
    <w:p w:rsidR="00000000" w:rsidDel="00000000" w:rsidP="00000000" w:rsidRDefault="00000000" w:rsidRPr="00000000" w14:paraId="00000217">
      <w:pPr>
        <w:ind w:left="48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36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212121"/>
          <w:highlight w:val="white"/>
          <w:rtl w:val="0"/>
        </w:rPr>
        <w:t xml:space="preserve">Anusha Lekshminarayanan, MD; Parth Bhatt, MD, MPH; Vijay Linga, MD; Riddhi Chaudhari, MBBS; Brian Zhu; Mihir Dave, MD; Keyur Donda, MBBS; Sejal  Savani, MD; Samir Patel, MD, MPH; Zeenia Billimoria, MD; Smita Bhaskaran, MD;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Samer Zaid-Kaylani, MD</w:t>
      </w:r>
      <w:r w:rsidDel="00000000" w:rsidR="00000000" w:rsidRPr="00000000">
        <w:rPr>
          <w:color w:val="212121"/>
          <w:highlight w:val="white"/>
          <w:rtl w:val="0"/>
        </w:rPr>
        <w:t xml:space="preserve">; Fredrick Dapaah-Siakwan, MD, FAAP; National Trends in Hospitalization for Fever and Neutropenia in Children with Cancer, 2007 to 2014 - AN ANALYSIS FROM NATIONAL INPATIENT SAMPLE, Ref.:  Ms. No. 20181078R1, </w:t>
      </w:r>
      <w:r w:rsidDel="00000000" w:rsidR="00000000" w:rsidRPr="00000000">
        <w:rPr>
          <w:color w:val="212121"/>
          <w:rtl w:val="0"/>
        </w:rPr>
        <w:t xml:space="preserve">J Pediatr.2018 Nov;202:231-237.e3. doi: 10.1016/j.jpeds.2018.06.056. Epub 2018 Jul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26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7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Neel S Bhatt, MBBS, MPH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Parth Bhatt, MD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Keyur Donda, MBBS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Fredrick Dapaah-Siakwan, MD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Riddhi Chaudhari, MBBS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Vijay Linga, MD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Bhumi Patel, MBBS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Anusha Lekshminarayanan, MD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Smita Bhaskaran, MD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Samer Zaid Kaylani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Sherif M. Badawy, MD, 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7,8,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Temporal Trends of Splenectomy in Pediatric Hospitalizations with Immune Thrombocytopenia,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Article ID: MPO27072, Article DOI: 10.1002/pbc.27072, Internal Article ID: 15181315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Srivastava, R., </w:t>
      </w:r>
      <w:r w:rsidDel="00000000" w:rsidR="00000000" w:rsidRPr="00000000">
        <w:rPr>
          <w:b w:val="1"/>
          <w:color w:val="000000"/>
          <w:rtl w:val="0"/>
        </w:rPr>
        <w:t xml:space="preserve">Kaylani, S</w:t>
      </w:r>
      <w:r w:rsidDel="00000000" w:rsidR="00000000" w:rsidRPr="00000000">
        <w:rPr>
          <w:color w:val="000000"/>
          <w:rtl w:val="0"/>
        </w:rPr>
        <w:t xml:space="preserve">., Edrees, N., Li, C., Talwelkar, S., Xu, J., Palle, K., Pressey, J., &amp; Athar, M. (2014). GLI inhibitor GANT-61 diminishes embryonal and alveolar rhabdomyosarcoma growth by inhibiting Shh/AKT-mTOR axis. </w:t>
      </w:r>
      <w:r w:rsidDel="00000000" w:rsidR="00000000" w:rsidRPr="00000000">
        <w:rPr>
          <w:i w:val="1"/>
          <w:color w:val="000000"/>
          <w:rtl w:val="0"/>
        </w:rPr>
        <w:t xml:space="preserve">Oncotarget, 5</w:t>
      </w:r>
      <w:r w:rsidDel="00000000" w:rsidR="00000000" w:rsidRPr="00000000">
        <w:rPr>
          <w:color w:val="000000"/>
          <w:rtl w:val="0"/>
        </w:rPr>
        <w:t xml:space="preserve">(23), 12151-12165. Retrieved from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http://www.impactjournals.com/oncotarget/index.php?journal=oncotarget&amp;page=article&amp;op=view&amp;path%5B%5D=2569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7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Kaylani S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Xu J, Srivastava R K, KopelovichL,Pressey J G,Athar M, Rapamycin Targeting mTOR and Hedgehog Signaling Pathways Blocks Human Rhabdomyosarcoma Growth in Xenograft Murine Model, accepted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Biochemical and Biophysical Research Communications,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(May,2013) PMID: 23665330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267" w:lineRule="auto"/>
        <w:rPr>
          <w:u w:val="single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1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Reviews, Chapters, Monographs and Editorials</w:t>
      </w:r>
    </w:p>
    <w:p w:rsidR="00000000" w:rsidDel="00000000" w:rsidP="00000000" w:rsidRDefault="00000000" w:rsidRPr="00000000" w14:paraId="00000221">
      <w:pPr>
        <w:ind w:left="480" w:firstLine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990.0" w:type="dxa"/>
        <w:jc w:val="left"/>
        <w:tblInd w:w="22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709"/>
        <w:gridCol w:w="9281"/>
        <w:tblGridChange w:id="0">
          <w:tblGrid>
            <w:gridCol w:w="709"/>
            <w:gridCol w:w="92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ind w:left="4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9">
      <w:pPr>
        <w:ind w:left="1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Books/Textbooks</w:t>
      </w:r>
    </w:p>
    <w:p w:rsidR="00000000" w:rsidDel="00000000" w:rsidP="00000000" w:rsidRDefault="00000000" w:rsidRPr="00000000" w14:paraId="0000022A">
      <w:pPr>
        <w:ind w:left="120" w:firstLine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990.0" w:type="dxa"/>
        <w:jc w:val="left"/>
        <w:tblInd w:w="22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709"/>
        <w:gridCol w:w="9281"/>
        <w:tblGridChange w:id="0">
          <w:tblGrid>
            <w:gridCol w:w="709"/>
            <w:gridCol w:w="92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ind w:lef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1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Case Reports</w:t>
      </w:r>
    </w:p>
    <w:p w:rsidR="00000000" w:rsidDel="00000000" w:rsidP="00000000" w:rsidRDefault="00000000" w:rsidRPr="00000000" w14:paraId="00000231">
      <w:pPr>
        <w:ind w:left="480" w:firstLine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990.0" w:type="dxa"/>
        <w:jc w:val="left"/>
        <w:tblInd w:w="22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699"/>
        <w:gridCol w:w="9291"/>
        <w:tblGridChange w:id="0">
          <w:tblGrid>
            <w:gridCol w:w="699"/>
            <w:gridCol w:w="92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Extreme hyperleukocytosis in an extremely preterm infant, </w:t>
            </w:r>
            <w:r w:rsidDel="00000000" w:rsidR="00000000" w:rsidRPr="00000000">
              <w:rPr>
                <w:rtl w:val="0"/>
              </w:rPr>
              <w:t xml:space="preserve">Lucio E. Ortega-Martinez, Saleena Ramzanali , Perla Mora, </w:t>
            </w:r>
            <w:r w:rsidDel="00000000" w:rsidR="00000000" w:rsidRPr="00000000">
              <w:rPr>
                <w:b w:val="1"/>
                <w:rtl w:val="0"/>
              </w:rPr>
              <w:t xml:space="preserve">Samer-Zaid Kaylani</w:t>
            </w:r>
            <w:r w:rsidDel="00000000" w:rsidR="00000000" w:rsidRPr="00000000">
              <w:rPr>
                <w:rtl w:val="0"/>
              </w:rPr>
              <w:t xml:space="preserve"> , Olubukunola Adesanya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Journal of Rare Diseases and Orphan Drugs, V3,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76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Head Lice Infestation: An Unusual Cause of Iron Deficiency Anemia in a 13-Year-Old Female.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Chukwunonye O Ogbuji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highlight w:val="white"/>
                <w:rtl w:val="0"/>
              </w:rPr>
              <w:t xml:space="preserve">,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Alexis Schuck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highlight w:val="white"/>
                <w:rtl w:val="0"/>
              </w:rPr>
              <w:t xml:space="preserve">, 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Matthew DeVries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highlight w:val="white"/>
                <w:rtl w:val="0"/>
              </w:rPr>
              <w:t xml:space="preserve">,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Elleana J Majdinasab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highlight w:val="white"/>
                <w:rtl w:val="0"/>
              </w:rPr>
              <w:t xml:space="preserve">, 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Kevin Benson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highlight w:val="white"/>
                <w:rtl w:val="0"/>
              </w:rPr>
              <w:t xml:space="preserve">, 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00"/>
                  <w:u w:val="none"/>
                  <w:rtl w:val="0"/>
                </w:rPr>
                <w:t xml:space="preserve">Samer Zaid-Kaylani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highlight w:val="white"/>
                <w:rtl w:val="0"/>
              </w:rPr>
              <w:t xml:space="preserve">, 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Smita Bhaskaran</w:t>
              </w:r>
            </w:hyperlink>
            <w:r w:rsidDel="00000000" w:rsidR="00000000" w:rsidRPr="00000000">
              <w:rPr>
                <w:color w:val="5b616b"/>
                <w:sz w:val="18"/>
                <w:szCs w:val="18"/>
                <w:highlight w:val="white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color w:val="222222"/>
                <w:rtl w:val="0"/>
              </w:rPr>
              <w:t xml:space="preserve">. (June 15, 2022) Cureus 14(6): e25956. doi:10.7759/cureus.25956, PMID: 35855249</w:t>
            </w:r>
          </w:p>
          <w:p w:rsidR="00000000" w:rsidDel="00000000" w:rsidP="00000000" w:rsidRDefault="00000000" w:rsidRPr="00000000" w14:paraId="0000023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B-cell Acute Lymphoblastic Leukemia Mimicking a Malignant Bone Tumor in a 5-year-old Male, Chukwunonye Ogbuji MD (PGY-1), Niki Sankoorikkal (MS3), Alexis Schuck (MS3),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Zaid-Kaylani MD</w:t>
            </w:r>
            <w:r w:rsidDel="00000000" w:rsidR="00000000" w:rsidRPr="00000000">
              <w:rPr>
                <w:color w:val="000000"/>
                <w:rtl w:val="0"/>
              </w:rPr>
              <w:t xml:space="preserve">, Smita Bhaskaran MD, published in Panhandle health, spring 2022,Vol 32, No2,pages 48-49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Cardiac Thrombus: A case report of a rare finding on a pediatric patient with T cell Leukemia. Danilo Noboa MD, Roa Bashtawi MD, Cristina Natha,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Zaid-Kaylani MD</w:t>
            </w:r>
            <w:r w:rsidDel="00000000" w:rsidR="00000000" w:rsidRPr="00000000">
              <w:rPr>
                <w:color w:val="000000"/>
                <w:rtl w:val="0"/>
              </w:rPr>
              <w:t xml:space="preserve">, Smita Bhaskaran MD., accepted for publishing in Panhandle health</w:t>
            </w:r>
          </w:p>
          <w:p w:rsidR="00000000" w:rsidDel="00000000" w:rsidP="00000000" w:rsidRDefault="00000000" w:rsidRPr="00000000" w14:paraId="0000023B">
            <w:pPr>
              <w:ind w:firstLine="72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Bewaji, O., Kandaswamy, P., Maniam, G., Bhaskaran, S., &amp;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Zaid Kaylani, S.</w:t>
            </w:r>
            <w:r w:rsidDel="00000000" w:rsidR="00000000" w:rsidRPr="00000000">
              <w:rPr>
                <w:highlight w:val="white"/>
                <w:rtl w:val="0"/>
              </w:rPr>
              <w:t xml:space="preserve"> (2020). Refractory immune thrombocytopenia (ITP) with suspected Evans syndrome requiring quadruple therapy. 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Journal of Rare Diseases and Orphan Drugs</w:t>
            </w:r>
            <w:r w:rsidDel="00000000" w:rsidR="00000000" w:rsidRPr="00000000">
              <w:rPr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highlight w:val="white"/>
                <w:rtl w:val="0"/>
              </w:rPr>
              <w:t xml:space="preserve">, 5-7.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highlight w:val="white"/>
                  <w:u w:val="single"/>
                  <w:rtl w:val="0"/>
                </w:rPr>
                <w:t xml:space="preserve">https://doi.org/10.36013/jrdod.v1i.31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Ayobami D. Olanrewaju,MD, Smita Bhaskaran,MD,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Samer Zaid kaylani,MD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Central Venous line migration into the pulmonary trunk in a 4 year old,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Olanrewaju AD, Bhaskaran S, Samer Z-K. Central venous line migration into the pulmonary trunk in a 4-year-old.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529"/>
                <w:highlight w:val="white"/>
                <w:rtl w:val="0"/>
              </w:rPr>
              <w:t xml:space="preserve">Consultant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. 2018;58(10):284-285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Anil Gungor, MD</w:t>
            </w:r>
            <w:r w:rsidDel="00000000" w:rsidR="00000000" w:rsidRPr="00000000">
              <w:rPr>
                <w:color w:val="0000ff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ff"/>
                <w:rtl w:val="0"/>
              </w:rPr>
              <w:t xml:space="preserve">⁎</w:t>
            </w:r>
            <w:r w:rsidDel="00000000" w:rsidR="00000000" w:rsidRPr="00000000">
              <w:rPr>
                <w:color w:val="000000"/>
                <w:rtl w:val="0"/>
              </w:rPr>
              <w:t xml:space="preserve">, Lindsey Pennington, MD</w:t>
            </w: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, Senthil Sankararaman, MD</w:t>
            </w:r>
            <w:r w:rsidDel="00000000" w:rsidR="00000000" w:rsidRPr="00000000">
              <w:rPr>
                <w:color w:val="0000ff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Zaid-Kaylani, MD</w:t>
            </w:r>
            <w:r w:rsidDel="00000000" w:rsidR="00000000" w:rsidRPr="00000000">
              <w:rPr>
                <w:color w:val="0000ff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rtl w:val="0"/>
              </w:rPr>
              <w:t xml:space="preserve">, Majed Aldin Jeroudi, MD, A 14-year-old boy with extranodal natural killer cell lymphoma of the nose, nasopharynx, larynx, and trachea in remission 6 years after primary diagnosis. A longitudinal case report, Am J Otolaryngol–Head and Neck Med and Surg (2016), </w:t>
            </w:r>
            <w:r w:rsidDel="00000000" w:rsidR="00000000" w:rsidRPr="00000000">
              <w:rPr>
                <w:color w:val="0000ff"/>
                <w:rtl w:val="0"/>
              </w:rPr>
              <w:t xml:space="preserve">http://dx.doi.org/10.1016/j.amjoto.2016.08.004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Kaylani S</w:t>
            </w:r>
            <w:r w:rsidDel="00000000" w:rsidR="00000000" w:rsidRPr="00000000">
              <w:rPr>
                <w:color w:val="000000"/>
                <w:rtl w:val="0"/>
              </w:rPr>
              <w:t xml:space="preserve">, Theos A, PresseyJG,Treatment of Infantile Hemangiomas with Sirolimus in a Patient with PHACE Syndrome.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PediatrDermatol.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2013 Jan 15..Epub 2013. PMID: 23316753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ZaidKaylani S</w:t>
            </w:r>
            <w:r w:rsidDel="00000000" w:rsidR="00000000" w:rsidRPr="00000000">
              <w:rPr>
                <w:color w:val="000000"/>
                <w:rtl w:val="0"/>
              </w:rPr>
              <w:t xml:space="preserve">, Griffin M, Regueira O, Meningococcal Meningitis in an infant.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Consultant for Pediatrics</w:t>
            </w:r>
            <w:r w:rsidDel="00000000" w:rsidR="00000000" w:rsidRPr="00000000">
              <w:rPr>
                <w:color w:val="000000"/>
                <w:rtl w:val="0"/>
              </w:rPr>
              <w:t xml:space="preserve">. July 2012.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Bapat K,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ZaidKaylaniS</w:t>
            </w:r>
            <w:r w:rsidDel="00000000" w:rsidR="00000000" w:rsidRPr="00000000">
              <w:rPr>
                <w:color w:val="000000"/>
                <w:rtl w:val="0"/>
              </w:rPr>
              <w:t xml:space="preserve">, Turner C, RegueiraO.What’s Your Diagnosis?, Dermatitis Artefacta.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Consultant for Pediatricians.</w:t>
            </w:r>
            <w:r w:rsidDel="00000000" w:rsidR="00000000" w:rsidRPr="00000000">
              <w:rPr>
                <w:color w:val="000000"/>
                <w:rtl w:val="0"/>
              </w:rPr>
              <w:t xml:space="preserve">Vol 10 no. 7 235-238, 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ZaidKaylani S</w:t>
            </w:r>
            <w:r w:rsidDel="00000000" w:rsidR="00000000" w:rsidRPr="00000000">
              <w:rPr>
                <w:color w:val="000000"/>
                <w:rtl w:val="0"/>
              </w:rPr>
              <w:t xml:space="preserve">, Regueira O, Staph SCIURI and EnterobacterAsburiae as Causes of Atopic Dermatitis Super infection, Consultant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for Pediatrics</w:t>
            </w:r>
            <w:r w:rsidDel="00000000" w:rsidR="00000000" w:rsidRPr="00000000">
              <w:rPr>
                <w:color w:val="000000"/>
                <w:rtl w:val="0"/>
              </w:rPr>
              <w:t xml:space="preserve">. Vol 9, no. 8, pp 286,2010</w:t>
            </w:r>
          </w:p>
        </w:tc>
      </w:tr>
    </w:tbl>
    <w:p w:rsidR="00000000" w:rsidDel="00000000" w:rsidP="00000000" w:rsidRDefault="00000000" w:rsidRPr="00000000" w14:paraId="0000024F">
      <w:pPr>
        <w:ind w:left="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ind w:left="1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Letters to the Editor</w:t>
      </w:r>
    </w:p>
    <w:p w:rsidR="00000000" w:rsidDel="00000000" w:rsidP="00000000" w:rsidRDefault="00000000" w:rsidRPr="00000000" w14:paraId="00000251">
      <w:pPr>
        <w:ind w:left="120" w:firstLine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990.0" w:type="dxa"/>
        <w:jc w:val="left"/>
        <w:tblInd w:w="22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709"/>
        <w:gridCol w:w="9281"/>
        <w:tblGridChange w:id="0">
          <w:tblGrid>
            <w:gridCol w:w="709"/>
            <w:gridCol w:w="92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left="1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Proceedings of Meetings</w:t>
      </w:r>
    </w:p>
    <w:p w:rsidR="00000000" w:rsidDel="00000000" w:rsidP="00000000" w:rsidRDefault="00000000" w:rsidRPr="00000000" w14:paraId="00000258">
      <w:pPr>
        <w:ind w:left="120" w:firstLine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990.0" w:type="dxa"/>
        <w:jc w:val="left"/>
        <w:tblInd w:w="22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709"/>
        <w:gridCol w:w="9281"/>
        <w:tblGridChange w:id="0">
          <w:tblGrid>
            <w:gridCol w:w="709"/>
            <w:gridCol w:w="92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left="1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Clinical Practice Guidelines</w:t>
      </w:r>
    </w:p>
    <w:p w:rsidR="00000000" w:rsidDel="00000000" w:rsidP="00000000" w:rsidRDefault="00000000" w:rsidRPr="00000000" w14:paraId="0000025F">
      <w:pPr>
        <w:ind w:left="120" w:firstLine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990.0" w:type="dxa"/>
        <w:jc w:val="left"/>
        <w:tblInd w:w="22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709"/>
        <w:gridCol w:w="9281"/>
        <w:tblGridChange w:id="0">
          <w:tblGrid>
            <w:gridCol w:w="709"/>
            <w:gridCol w:w="92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numPr>
                <w:ilvl w:val="0"/>
                <w:numId w:val="7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numPr>
                <w:ilvl w:val="0"/>
                <w:numId w:val="7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Non-peer reviewed scientific or medical publications/materials in print or other media</w:t>
      </w:r>
    </w:p>
    <w:p w:rsidR="00000000" w:rsidDel="00000000" w:rsidP="00000000" w:rsidRDefault="00000000" w:rsidRPr="00000000" w14:paraId="00000266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990.0" w:type="dxa"/>
        <w:jc w:val="left"/>
        <w:tblInd w:w="22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698"/>
        <w:gridCol w:w="9292"/>
        <w:tblGridChange w:id="0">
          <w:tblGrid>
            <w:gridCol w:w="698"/>
            <w:gridCol w:w="92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Danilo Noboa, Arham Siddiqui, Angela Abraham,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 Kaylani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"</w:t>
            </w:r>
            <w:r w:rsidDel="00000000" w:rsidR="00000000" w:rsidRPr="00000000">
              <w:rPr>
                <w:color w:val="000000"/>
                <w:rtl w:val="0"/>
              </w:rPr>
              <w:t xml:space="preserve">FRACTURE OF A PORT-A-CATH LEADING TO EMBOLIZATION INTO THE RIGHT PULMONARY</w:t>
            </w:r>
          </w:p>
          <w:p w:rsidR="00000000" w:rsidDel="00000000" w:rsidP="00000000" w:rsidRDefault="00000000" w:rsidRPr="00000000" w14:paraId="00000269">
            <w:pPr>
              <w:spacing w:after="267" w:lineRule="auto"/>
              <w:rPr/>
            </w:pPr>
            <w:r w:rsidDel="00000000" w:rsidR="00000000" w:rsidRPr="00000000">
              <w:rPr>
                <w:rtl w:val="0"/>
              </w:rPr>
              <w:t xml:space="preserve">ARTERY: A CASE REPORT" for the 2022 ASPHO Conference May 4 - 7, 2022, in Pittsburgh, PA.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Chukwunonye Ogbuji, Alexis Schuck, Matthew De Vries, Elleana Majdinasab, Kevin Benson, Smita Bhaskaran,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Zaid-Kaylani, "</w:t>
            </w:r>
            <w:r w:rsidDel="00000000" w:rsidR="00000000" w:rsidRPr="00000000">
              <w:rPr>
                <w:color w:val="000000"/>
                <w:rtl w:val="0"/>
              </w:rPr>
              <w:t xml:space="preserve">HEAD LICE INFESTATION - AN UNUSUAL CAUSE OF IRON DEFICIENCY ANEMIA IN A 13-YEAR-OLD FEMALE" for the 2022 ASPHO Conference May 4 - 7, 2022, in Pittsburgh, PA.</w:t>
            </w:r>
          </w:p>
          <w:p w:rsidR="00000000" w:rsidDel="00000000" w:rsidP="00000000" w:rsidRDefault="00000000" w:rsidRPr="00000000" w14:paraId="000002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Roa Bashtawi, Diana Lebron, Smita Bhaskaran, </w:t>
            </w:r>
            <w:r w:rsidDel="00000000" w:rsidR="00000000" w:rsidRPr="00000000">
              <w:rPr>
                <w:b w:val="1"/>
                <w:rtl w:val="0"/>
              </w:rPr>
              <w:t xml:space="preserve">Samer Zaid Kaylani , "</w:t>
            </w:r>
            <w:r w:rsidDel="00000000" w:rsidR="00000000" w:rsidRPr="00000000">
              <w:rPr>
                <w:rtl w:val="0"/>
              </w:rPr>
              <w:t xml:space="preserve">LYMPHOMA IN THE MIDST OF GUILLAIN-BARRE SYNDROME THERAPY: AN INTERESTING DILEMMA" for the 2022 ASPHO Conference May 4 - 7, 2022, in Pittsburgh, PA</w:t>
            </w:r>
          </w:p>
          <w:p w:rsidR="00000000" w:rsidDel="00000000" w:rsidP="00000000" w:rsidRDefault="00000000" w:rsidRPr="00000000" w14:paraId="0000026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Bikal Sapkota, Samer Bou-Karroum, Samantha Dillawn, Benjamin Daines, </w:t>
            </w:r>
            <w:r w:rsidDel="00000000" w:rsidR="00000000" w:rsidRPr="00000000">
              <w:rPr>
                <w:b w:val="1"/>
                <w:rtl w:val="0"/>
              </w:rPr>
              <w:t xml:space="preserve">Samer Zaid Kaylani, </w:t>
            </w:r>
            <w:r w:rsidDel="00000000" w:rsidR="00000000" w:rsidRPr="00000000">
              <w:rPr>
                <w:rtl w:val="0"/>
              </w:rPr>
              <w:t xml:space="preserve">Smita Bhasakarn, </w:t>
            </w:r>
            <w:r w:rsidDel="00000000" w:rsidR="00000000" w:rsidRPr="00000000">
              <w:rPr>
                <w:b w:val="1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COVID-19 INFECTION INCREASES THE RISK OF HYPERCOAGULABILITY IN INDIVIDUALS WITH MTHFR GENE MUTATION" for the 2022 ASPHO Conference May 4 - 7, 2022, in Pittsburgh, PA</w:t>
            </w:r>
          </w:p>
          <w:p w:rsidR="00000000" w:rsidDel="00000000" w:rsidP="00000000" w:rsidRDefault="00000000" w:rsidRPr="00000000" w14:paraId="0000027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Thu Tran, DO; Alya Abuhantesh, MD; Raphael Mattamal MD; </w:t>
            </w:r>
            <w:r w:rsidDel="00000000" w:rsidR="00000000" w:rsidRPr="00000000">
              <w:rPr>
                <w:b w:val="1"/>
                <w:rtl w:val="0"/>
              </w:rPr>
              <w:t xml:space="preserve">Samer Kaylani MD</w:t>
            </w:r>
            <w:r w:rsidDel="00000000" w:rsidR="00000000" w:rsidRPr="00000000">
              <w:rPr>
                <w:rtl w:val="0"/>
              </w:rPr>
              <w:t xml:space="preserve">; Smita Bhaskaran MD, Idiopathic Warm Autoimmune Hemolytic Anemia, presented at the Texas Tech resident research day 04/2018</w:t>
            </w:r>
          </w:p>
          <w:p w:rsidR="00000000" w:rsidDel="00000000" w:rsidP="00000000" w:rsidRDefault="00000000" w:rsidRPr="00000000" w14:paraId="0000027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  <w:t xml:space="preserve">Ayobami D. Olanrewaju,MD, Smita Bhaskaran,MD, </w:t>
            </w:r>
            <w:r w:rsidDel="00000000" w:rsidR="00000000" w:rsidRPr="00000000">
              <w:rPr>
                <w:b w:val="1"/>
                <w:rtl w:val="0"/>
              </w:rPr>
              <w:t xml:space="preserve">Samer Zaid kaylani,MD </w:t>
            </w:r>
            <w:r w:rsidDel="00000000" w:rsidR="00000000" w:rsidRPr="00000000">
              <w:rPr>
                <w:color w:val="202020"/>
                <w:rtl w:val="0"/>
              </w:rPr>
              <w:t xml:space="preserve">,Central venous line migration into the pulmonary trunk in a 4-year old, AAP conference, 2018 Section on Pediatric Trainees (SOPT) (11/2/2018 - 11/6/2018)</w:t>
            </w:r>
          </w:p>
          <w:p w:rsidR="00000000" w:rsidDel="00000000" w:rsidP="00000000" w:rsidRDefault="00000000" w:rsidRPr="00000000" w14:paraId="0000027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Bhatt P, Linga V, Lekshminarayan A, Ghawi H,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Kaylani S</w:t>
            </w:r>
            <w:r w:rsidDel="00000000" w:rsidR="00000000" w:rsidRPr="00000000">
              <w:rPr>
                <w:color w:val="000000"/>
                <w:rtl w:val="0"/>
              </w:rPr>
              <w:t xml:space="preserve">, Bhaskaran S.  Febrile Neutropenia Trends and Resource Utilization among Pediatric Hospitalizations in United States from 2009-2014. 2017 American Academy of Pediatrics (AAP) National Conference &amp; Exhibition, American Academy of Pediatrics, Chicago IL, September 2017</w:t>
            </w:r>
          </w:p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Bhatt N, Bhatt P, Donda K, Dapaah-Siakwan F, Batalahally S, Linga V, Lekshminarayan A, Chaudhari R,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Kaylani S</w:t>
            </w:r>
            <w:r w:rsidDel="00000000" w:rsidR="00000000" w:rsidRPr="00000000">
              <w:rPr>
                <w:color w:val="000000"/>
                <w:rtl w:val="0"/>
              </w:rPr>
              <w:t xml:space="preserve">, Bhaskaran S.  Trends of Splenectomy in Pediatric Patients with Immune Thrombocytopenia before and after the ASH 2011 Evidence-Based Practice Guidelines.  American Society of Hematology</w:t>
            </w:r>
          </w:p>
          <w:p w:rsidR="00000000" w:rsidDel="00000000" w:rsidP="00000000" w:rsidRDefault="00000000" w:rsidRPr="00000000" w14:paraId="0000027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Oluwayemisi Adesida, Majed Jeroudi,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Zaid-Kaylani</w:t>
            </w:r>
            <w:r w:rsidDel="00000000" w:rsidR="00000000" w:rsidRPr="00000000">
              <w:rPr>
                <w:color w:val="000000"/>
                <w:rtl w:val="0"/>
              </w:rPr>
              <w:t xml:space="preserve">, MULTICENTRIC INFANTILE MYOFIBROMATOSIS, Poster presentation session, Feb 2016, New Orleans</w:t>
            </w:r>
          </w:p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Nayf Edrees, Ritesh Srivastava,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 Kaylani</w:t>
            </w:r>
            <w:r w:rsidDel="00000000" w:rsidR="00000000" w:rsidRPr="00000000">
              <w:rPr>
                <w:color w:val="000000"/>
                <w:rtl w:val="0"/>
              </w:rPr>
              <w:t xml:space="preserve">, Sarang Talwelkar, Changzhou Li, Joseph Pressey, Mohammad Athar, Blockade of GLI1/2 diminishes human Rhabdomyosarcoma growth in xenograft model, COG junior investigator presented by Nayf Edress, Sep 2014, Dallas</w:t>
            </w:r>
          </w:p>
          <w:p w:rsidR="00000000" w:rsidDel="00000000" w:rsidP="00000000" w:rsidRDefault="00000000" w:rsidRPr="00000000" w14:paraId="000002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vertAlign w:val="superscript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Ritesh Srivastava 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Z. Kaylani</w:t>
            </w:r>
            <w:r w:rsidDel="00000000" w:rsidR="00000000" w:rsidRPr="00000000">
              <w:rPr>
                <w:color w:val="000000"/>
                <w:rtl w:val="0"/>
              </w:rPr>
              <w:t xml:space="preserve">, Sarang S Talwelkar, Changzhou Li,  Nayf Edrees, Joseph G. Pressey, Mohammad Athar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, OSI-027, a novel selective inhibitor of mTORC1 and mTORC2, blocks human rhabdomyosarcoma growth in xenograft murine model by inhibiting mTOR and hedgehog signaling pathway, UAB comprehensive Cancer Center Research Retreat, November,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8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Nayf Edrees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, Ritesh K. Srivastava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Samer Zaid Kaylani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, Changzhou Li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, Sarang S.Talwelkar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, Jianmin Xu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, Joseph G. Pressey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 and Mohammad Athar, GLI 1/2 are over-expressed in both alveolar and embryonal rhabodmyosarcoma and their blockade diminish the growth of these tumors in xenograft model, UAB comprehensive Cancer Center Research Retreat, November, 2013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Samer Zaid-Kaylani</w:t>
            </w:r>
            <w:r w:rsidDel="00000000" w:rsidR="00000000" w:rsidRPr="00000000">
              <w:rPr>
                <w:rtl w:val="0"/>
              </w:rPr>
              <w:t xml:space="preserve">, Kerry Parsons, Joseph G Pressey, Novel Combination of Cytotoxic agents followed by EGFR-Targeted Maintenance therapy for Reuccrent Nasopharyngeal Carcinoma, American Society of Pediatric Hematology and Oncology (ASPHO) Annual meeting, Miami, Florida, April 26th, 2013.</w:t>
            </w:r>
          </w:p>
          <w:p w:rsidR="00000000" w:rsidDel="00000000" w:rsidP="00000000" w:rsidRDefault="00000000" w:rsidRPr="00000000" w14:paraId="000002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ZaidKaylani S, </w:t>
            </w:r>
            <w:r w:rsidDel="00000000" w:rsidR="00000000" w:rsidRPr="00000000">
              <w:rPr>
                <w:rtl w:val="0"/>
              </w:rPr>
              <w:t xml:space="preserve">Regueira O, </w:t>
            </w:r>
            <w:r w:rsidDel="00000000" w:rsidR="00000000" w:rsidRPr="00000000">
              <w:rPr>
                <w:i w:val="1"/>
                <w:rtl w:val="0"/>
              </w:rPr>
              <w:t xml:space="preserve">Staphlyococcussciuri</w:t>
            </w:r>
            <w:r w:rsidDel="00000000" w:rsidR="00000000" w:rsidRPr="00000000">
              <w:rPr>
                <w:rtl w:val="0"/>
              </w:rPr>
              <w:t xml:space="preserve">and</w:t>
            </w:r>
            <w:r w:rsidDel="00000000" w:rsidR="00000000" w:rsidRPr="00000000">
              <w:rPr>
                <w:i w:val="1"/>
                <w:rtl w:val="0"/>
              </w:rPr>
              <w:t xml:space="preserve">Enterobacterasburiae</w:t>
            </w:r>
            <w:r w:rsidDel="00000000" w:rsidR="00000000" w:rsidRPr="00000000">
              <w:rPr>
                <w:rtl w:val="0"/>
              </w:rPr>
              <w:t xml:space="preserve">as Causes of Atopic Dermatitis Superinfection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Third Annual Medical Student and Resident Research Day, April, 2009.</w:t>
            </w:r>
          </w:p>
          <w:p w:rsidR="00000000" w:rsidDel="00000000" w:rsidP="00000000" w:rsidRDefault="00000000" w:rsidRPr="00000000" w14:paraId="000002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267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ZaidKaylani S, </w:t>
            </w:r>
            <w:r w:rsidDel="00000000" w:rsidR="00000000" w:rsidRPr="00000000">
              <w:rPr>
                <w:rtl w:val="0"/>
              </w:rPr>
              <w:t xml:space="preserve">Regueira O, Interpersonal Communication in a Case of Meningococcal Meningitis, Third Annual Amarillo Medical Student and Resident Research Day, April, 2009. </w:t>
            </w:r>
          </w:p>
          <w:p w:rsidR="00000000" w:rsidDel="00000000" w:rsidP="00000000" w:rsidRDefault="00000000" w:rsidRPr="00000000" w14:paraId="000002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26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Zaid Kaylani S</w:t>
            </w:r>
            <w:r w:rsidDel="00000000" w:rsidR="00000000" w:rsidRPr="00000000">
              <w:rPr>
                <w:rtl w:val="0"/>
              </w:rPr>
              <w:t xml:space="preserve">, Bapat K, Turner C, Regueira O. Chemotherapy Induced Stroke In A Child With Acute Lymphoblastic Leukemia; Second Annual Amarillo Medical Student &amp; Resident Research Day, April 30, 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Bapat K, </w:t>
            </w:r>
            <w:r w:rsidDel="00000000" w:rsidR="00000000" w:rsidRPr="00000000">
              <w:rPr>
                <w:b w:val="1"/>
                <w:rtl w:val="0"/>
              </w:rPr>
              <w:t xml:space="preserve">ZaidKaylani S</w:t>
            </w:r>
            <w:r w:rsidDel="00000000" w:rsidR="00000000" w:rsidRPr="00000000">
              <w:rPr>
                <w:rtl w:val="0"/>
              </w:rPr>
              <w:t xml:space="preserve">, Turner C, Regueira O. Neuroblastoma Mimicking Pneumonia; Second Annual Amarillo Medical Student &amp; Resident Research Day, April 30, 2008. </w:t>
            </w:r>
          </w:p>
          <w:p w:rsidR="00000000" w:rsidDel="00000000" w:rsidP="00000000" w:rsidRDefault="00000000" w:rsidRPr="00000000" w14:paraId="00000298">
            <w:pPr>
              <w:spacing w:after="267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9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AD06BD"/>
    <w:pPr>
      <w:keepNext w:val="1"/>
      <w:spacing w:after="60" w:before="240"/>
      <w:outlineLvl w:val="2"/>
    </w:pPr>
    <w:rPr>
      <w:rFonts w:ascii="Arial" w:cs="Arial" w:hAnsi="Arial"/>
      <w:b w:val="1"/>
      <w:bCs w:val="1"/>
      <w:vanish w:val="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 w:val="1"/>
    <w:rsid w:val="00AD06BD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 w:val="1"/>
    <w:rsid w:val="00EC528A"/>
    <w:pPr>
      <w:keepNext w:val="1"/>
      <w:outlineLvl w:val="7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semiHidden w:val="1"/>
    <w:locked w:val="1"/>
    <w:rsid w:val="00CB3B1D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locked w:val="1"/>
    <w:rsid w:val="00CB3B1D"/>
    <w:rPr>
      <w:rFonts w:asciiTheme="minorHAnsi" w:cstheme="minorBidi" w:eastAsiaTheme="minorEastAsia" w:hAnsiTheme="minorHAnsi"/>
      <w:b w:val="1"/>
      <w:b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locked w:val="1"/>
    <w:rsid w:val="00CB3B1D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after="100" w:afterAutospacing="1" w:before="100" w:beforeAutospacing="1"/>
    </w:pPr>
  </w:style>
  <w:style w:type="character" w:styleId="Emphasis">
    <w:name w:val="Emphasis"/>
    <w:basedOn w:val="DefaultParagraphFont"/>
    <w:uiPriority w:val="20"/>
    <w:qFormat w:val="1"/>
    <w:rsid w:val="00CB3B1D"/>
    <w:rPr>
      <w:rFonts w:ascii="Times New Roman" w:cs="Times New Roman" w:hAnsi="Times New Roman"/>
      <w:i w:val="1"/>
      <w:iCs w:val="1"/>
    </w:rPr>
  </w:style>
  <w:style w:type="character" w:styleId="Strong">
    <w:name w:val="Strong"/>
    <w:basedOn w:val="DefaultParagraphFont"/>
    <w:uiPriority w:val="99"/>
    <w:qFormat w:val="1"/>
    <w:rsid w:val="00CB3B1D"/>
    <w:rPr>
      <w:rFonts w:ascii="Times New Roman" w:cs="Times New Roman" w:hAnsi="Times New Roman"/>
      <w:b w:val="1"/>
      <w:bCs w:val="1"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CB3B1D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cs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locked w:val="1"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locked w:val="1"/>
    <w:rsid w:val="00CB3B1D"/>
    <w:rPr>
      <w:rFonts w:cs="Times New Roman"/>
      <w:b w:val="1"/>
      <w:bCs w:val="1"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cs="Times New Roman" w:hAnsi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cs="Times New Roman" w:hAnsi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locked w:val="1"/>
    <w:rsid w:val="00CB3B1D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locked w:val="1"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locked w:val="1"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styleId="TableGrid1" w:customStyle="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2" w:customStyle="1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CC6B4D"/>
    <w:pPr>
      <w:ind w:left="720"/>
    </w:pPr>
  </w:style>
  <w:style w:type="paragraph" w:styleId="Default" w:customStyle="1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author-sup-separator" w:customStyle="1">
    <w:name w:val="author-sup-separator"/>
    <w:basedOn w:val="DefaultParagraphFont"/>
    <w:rsid w:val="00030ABD"/>
  </w:style>
  <w:style w:type="character" w:styleId="comma" w:customStyle="1">
    <w:name w:val="comma"/>
    <w:basedOn w:val="DefaultParagraphFont"/>
    <w:rsid w:val="00030AB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ubmed.ncbi.nlm.nih.gov/?term=Majdinasab+EJ&amp;cauthor_id=35855249" TargetMode="External"/><Relationship Id="rId10" Type="http://schemas.openxmlformats.org/officeDocument/2006/relationships/hyperlink" Target="https://pubmed.ncbi.nlm.nih.gov/?term=DeVries+M&amp;cauthor_id=35855249" TargetMode="External"/><Relationship Id="rId13" Type="http://schemas.openxmlformats.org/officeDocument/2006/relationships/hyperlink" Target="https://pubmed.ncbi.nlm.nih.gov/?term=Zaid-Kaylani+S&amp;cauthor_id=35855249" TargetMode="External"/><Relationship Id="rId12" Type="http://schemas.openxmlformats.org/officeDocument/2006/relationships/hyperlink" Target="https://pubmed.ncbi.nlm.nih.gov/?term=Benson+K&amp;cauthor_id=3585524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med.ncbi.nlm.nih.gov/?term=Schuck+A&amp;cauthor_id=35855249" TargetMode="External"/><Relationship Id="rId15" Type="http://schemas.openxmlformats.org/officeDocument/2006/relationships/hyperlink" Target="https://doi.org/10.36013/jrdod.v1i.31" TargetMode="External"/><Relationship Id="rId14" Type="http://schemas.openxmlformats.org/officeDocument/2006/relationships/hyperlink" Target="https://pubmed.ncbi.nlm.nih.gov/?term=Bhaskaran+S&amp;cauthor_id=35855249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ncbi.nlm.nih.gov/pubmed?term=kaylani%20presse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://www.impactjournals.com/oncotarget/index.php?journal=oncotarget&amp;page=article&amp;op=view&amp;path%5B%5D=2569" TargetMode="External"/><Relationship Id="rId8" Type="http://schemas.openxmlformats.org/officeDocument/2006/relationships/hyperlink" Target="https://pubmed.ncbi.nlm.nih.gov/?term=Ogbuji+CO&amp;cauthor_id=35855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yro+RlpsX2KqS3RIKF5TZDGr4A==">AMUW2mWObb/KwcXBYKtsOZ2et44I4u0QqC3TRKPAOy637qS0tqQBkQQ+RAbh2xqP5yJZ2PY6pT/ev8I9UDzexXwB8IK2azatI7wFOYacrReYpCPJtor/ZlbR+B4YiS0WlC068EpNN5Pu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2022-11-03T13:52:00Z</dcterms:created>
  <dc:creator>Michael Jones</dc:creator>
</cp:coreProperties>
</file>